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C880" w14:textId="7A933248" w:rsidR="00875F27" w:rsidRPr="0013796F" w:rsidRDefault="00875F27" w:rsidP="00875F27">
      <w:pPr>
        <w:shd w:val="clear" w:color="auto" w:fill="FFFFFF"/>
        <w:spacing w:after="45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u w:val="single"/>
          <w:lang w:eastAsia="es-ES"/>
          <w14:ligatures w14:val="none"/>
        </w:rPr>
        <w:t>ASOCIACION ESPAÑOLA DE MILITARES ESCRITORES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    </w:t>
      </w:r>
      <w:r w:rsidR="007B13E2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u w:val="single"/>
          <w:lang w:eastAsia="es-ES"/>
          <w14:ligatures w14:val="none"/>
        </w:rPr>
        <w:t>(AEME)</w:t>
      </w:r>
    </w:p>
    <w:p w14:paraId="423FAFE6" w14:textId="77777777" w:rsidR="001E0D8B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4DBA52EC" w14:textId="204BD290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PREAMBULO</w:t>
      </w:r>
    </w:p>
    <w:p w14:paraId="000C14C2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Con la denominación de </w:t>
      </w:r>
      <w:r w:rsidRPr="001E0D8B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ASOCIACION ESPAÑOLA DE MILITARES ESCRITORES (AEME) 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se crea una asociación independiente, sin ánimo de lucro, personalidad jurídica única y capacidad de obrar, al amparo de la ley Orgánica 1/2002 de 22 de marzo reguladora del derecho de asociación.</w:t>
      </w:r>
    </w:p>
    <w:p w14:paraId="6A8514F7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CAPITULO  I</w:t>
      </w:r>
    </w:p>
    <w:p w14:paraId="0E82344E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DENOMINACION, FINES Y AMBITO</w:t>
      </w:r>
    </w:p>
    <w:p w14:paraId="341D5D04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1.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Asociación Española de Militares Escritores es una entidad cultural que se rige por los presentes estatutos.</w:t>
      </w:r>
    </w:p>
    <w:p w14:paraId="658643A2" w14:textId="2F65632E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s-ES"/>
          <w14:ligatures w14:val="none"/>
        </w:rPr>
        <w:t>Artículo 2. </w:t>
      </w:r>
      <w:r w:rsidRPr="0013796F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Los fines de la Asociación son:</w:t>
      </w:r>
    </w:p>
    <w:p w14:paraId="47CD0738" w14:textId="56BA4CFF" w:rsidR="008274F3" w:rsidRPr="0013796F" w:rsidRDefault="008274F3" w:rsidP="008274F3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3796F">
        <w:rPr>
          <w:rFonts w:ascii="Arial" w:hAnsi="Arial"/>
          <w:sz w:val="24"/>
          <w:szCs w:val="24"/>
        </w:rPr>
        <w:t>Fomentar las actividades literarias</w:t>
      </w:r>
      <w:r w:rsidR="0013796F">
        <w:rPr>
          <w:rFonts w:ascii="Arial" w:hAnsi="Arial"/>
          <w:sz w:val="24"/>
          <w:szCs w:val="24"/>
        </w:rPr>
        <w:t>, técnicas</w:t>
      </w:r>
      <w:r w:rsidRPr="0013796F">
        <w:rPr>
          <w:rFonts w:ascii="Arial" w:hAnsi="Arial"/>
          <w:sz w:val="24"/>
          <w:szCs w:val="24"/>
        </w:rPr>
        <w:t xml:space="preserve"> y científicas llevadas a cabo por militares españoles, así como dar a conocer y catalogar sus </w:t>
      </w:r>
      <w:r w:rsidR="00181571" w:rsidRPr="0013796F">
        <w:rPr>
          <w:rFonts w:ascii="Arial" w:hAnsi="Arial"/>
          <w:sz w:val="24"/>
          <w:szCs w:val="24"/>
        </w:rPr>
        <w:t>obras</w:t>
      </w:r>
      <w:r w:rsidR="0013796F">
        <w:rPr>
          <w:rFonts w:ascii="Arial" w:hAnsi="Arial"/>
          <w:sz w:val="24"/>
          <w:szCs w:val="24"/>
        </w:rPr>
        <w:t>.</w:t>
      </w:r>
      <w:r w:rsidR="00181571" w:rsidRPr="0013796F">
        <w:rPr>
          <w:rFonts w:ascii="Arial" w:hAnsi="Arial"/>
          <w:sz w:val="24"/>
          <w:szCs w:val="24"/>
        </w:rPr>
        <w:t xml:space="preserve"> </w:t>
      </w:r>
    </w:p>
    <w:p w14:paraId="1F9ABD32" w14:textId="720C24D8" w:rsidR="008274F3" w:rsidRPr="0013796F" w:rsidRDefault="008274F3" w:rsidP="008274F3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3796F">
        <w:rPr>
          <w:rFonts w:ascii="Arial" w:hAnsi="Arial"/>
          <w:sz w:val="24"/>
          <w:szCs w:val="24"/>
        </w:rPr>
        <w:t xml:space="preserve">Potenciar las relaciones culturales entre los miembros de la Asociación y entre esta y aquellas entidades e instituciones nacionales e </w:t>
      </w:r>
      <w:r w:rsidR="0013796F">
        <w:rPr>
          <w:rFonts w:ascii="Arial" w:hAnsi="Arial"/>
          <w:sz w:val="24"/>
          <w:szCs w:val="24"/>
        </w:rPr>
        <w:t xml:space="preserve">internacionales </w:t>
      </w:r>
      <w:r w:rsidRPr="0013796F">
        <w:rPr>
          <w:rFonts w:ascii="Arial" w:hAnsi="Arial"/>
          <w:sz w:val="24"/>
          <w:szCs w:val="24"/>
        </w:rPr>
        <w:t>afines.</w:t>
      </w:r>
    </w:p>
    <w:p w14:paraId="6C6FB267" w14:textId="42CA262A" w:rsidR="0013796F" w:rsidRPr="0013796F" w:rsidRDefault="008274F3" w:rsidP="008274F3"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13796F">
        <w:rPr>
          <w:rFonts w:ascii="Arial" w:hAnsi="Arial"/>
          <w:sz w:val="24"/>
          <w:szCs w:val="24"/>
        </w:rPr>
        <w:t xml:space="preserve">Contribuir a la cultura de </w:t>
      </w:r>
      <w:r w:rsidR="0013796F">
        <w:rPr>
          <w:rFonts w:ascii="Arial" w:hAnsi="Arial"/>
          <w:sz w:val="24"/>
          <w:szCs w:val="24"/>
        </w:rPr>
        <w:t xml:space="preserve">la Seguridad </w:t>
      </w:r>
      <w:r w:rsidRPr="0013796F">
        <w:rPr>
          <w:rFonts w:ascii="Arial" w:hAnsi="Arial"/>
          <w:sz w:val="24"/>
          <w:szCs w:val="24"/>
        </w:rPr>
        <w:t>Nacional, en aras de un mayor conocimiento de las Fuerzas Armadas, una mayor comunicación con la sociedad y un fortalecimiento de la conciencia</w:t>
      </w:r>
      <w:r w:rsidR="00114615" w:rsidRPr="0013796F">
        <w:rPr>
          <w:rFonts w:ascii="Arial" w:hAnsi="Arial"/>
          <w:sz w:val="24"/>
          <w:szCs w:val="24"/>
        </w:rPr>
        <w:t xml:space="preserve"> </w:t>
      </w:r>
      <w:r w:rsidRPr="0013796F">
        <w:rPr>
          <w:rFonts w:ascii="Arial" w:hAnsi="Arial"/>
          <w:sz w:val="24"/>
          <w:szCs w:val="24"/>
        </w:rPr>
        <w:t>nacional de la Defensa</w:t>
      </w:r>
      <w:r w:rsidR="0013796F">
        <w:rPr>
          <w:rFonts w:ascii="Arial" w:hAnsi="Arial"/>
          <w:sz w:val="24"/>
          <w:szCs w:val="24"/>
        </w:rPr>
        <w:t>.</w:t>
      </w:r>
    </w:p>
    <w:p w14:paraId="2C640951" w14:textId="77777777" w:rsidR="001E0D8B" w:rsidRDefault="001E0D8B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</w:p>
    <w:p w14:paraId="5F20BAE8" w14:textId="2E7E66EF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3.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Asociación establece su domicilio social en Madrid, Calle San Nicolás 11, 2º piso. 28013 MADRID, “Acuartelamiento de San Nicolás”. Su ámbito de actividades es todo el territorio nacional, y su temporalidad indefinida.</w:t>
      </w:r>
    </w:p>
    <w:p w14:paraId="05AF4E65" w14:textId="14C62E56" w:rsidR="00875F27" w:rsidRPr="001E0D8B" w:rsidRDefault="0013796F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CAPITULO  II</w:t>
      </w:r>
    </w:p>
    <w:p w14:paraId="315F32B0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ORGANOS DE REPRESENTACION</w:t>
      </w:r>
    </w:p>
    <w:p w14:paraId="2C28540B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4. 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Asociación está regida por la Asamblea General, Junta Directiva y cargos.</w:t>
      </w:r>
    </w:p>
    <w:p w14:paraId="222CF620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lastRenderedPageBreak/>
        <w:t>ASAMBLEA GENERAL</w:t>
      </w:r>
    </w:p>
    <w:p w14:paraId="31EAF215" w14:textId="33FCC159" w:rsidR="00875F27" w:rsidRPr="0013796F" w:rsidRDefault="001E0D8B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5</w:t>
      </w:r>
      <w:r w:rsidR="00875F27"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. </w:t>
      </w:r>
      <w:r w:rsidR="00875F27"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Asamblea General es el órgano supremo de la Asociación y estará integrada por todos los asociados.</w:t>
      </w:r>
    </w:p>
    <w:p w14:paraId="1D55DBE9" w14:textId="5AE205B1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6.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Las reuniones de la Asamblea General serán ordinarias y extraordinarias. La ordinaria se celebrar</w:t>
      </w:r>
      <w:r w:rsidR="00114615"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á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una vez al año dentro de los seis meses siguientes al cierre del ejercicio; las extraordinarias se celebraran cuando las circunstancias lo aconsejen, a juicio del Presidente, cuando la Junta Directiva lo acuerde </w:t>
      </w:r>
      <w:r w:rsid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o 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cuando lo proponga por escrito una sexta parte de los asociados.</w:t>
      </w:r>
    </w:p>
    <w:p w14:paraId="01E229AD" w14:textId="4239FC10" w:rsidR="00875F27" w:rsidRPr="0013796F" w:rsidRDefault="001E0D8B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7.</w:t>
      </w:r>
      <w:r w:rsidR="00875F27"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  </w:t>
      </w:r>
      <w:r w:rsidR="00875F27"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Asamblea General, tanto ordinaria como extraordinaria, quedará válidamente constituida en primera convocatoria cuando concurran a ella un tercio de los asociados con derecho a voto, y en segunda convocatoria cualquiera que sea el número de asociados con derecho a voto.</w:t>
      </w:r>
    </w:p>
    <w:p w14:paraId="5C6595E2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8.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Las convocatorias se realizarán por escrito señalando el lugar, día y hora de la reunión, así como el orden del día, con expresión concreta de los asuntos a tratar. Entre la convocatoria y el día señalado para la celebración de la Asamblea habrán de mediar al menos quince días.</w:t>
      </w:r>
    </w:p>
    <w:p w14:paraId="4033D63F" w14:textId="2C012B86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9.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acuerdos se tomaran por mayoría simple de las personas presentes o representadas  cuando  los votos afirmativos superen  a los negativos, no siendo computables a estos efectos los votos nulos, en blanco, ni las abstenciones. En caso de empate decidirá el voto del presidente.</w:t>
      </w:r>
    </w:p>
    <w:p w14:paraId="1FAF02E2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10.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Serán facultades de la Asamblea General:</w:t>
      </w:r>
    </w:p>
    <w:p w14:paraId="180E6355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a) Aprobar la gestión de la Junta Directiva.</w:t>
      </w:r>
    </w:p>
    <w:p w14:paraId="7B057570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b) Examinar y comprobar las cuentas anuales.</w:t>
      </w:r>
    </w:p>
    <w:p w14:paraId="1B77476B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c) Elegir los miembros de la Junta Directiva.</w:t>
      </w:r>
    </w:p>
    <w:p w14:paraId="49FBA5EB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d) Fijar las cuotas ordinarias y extraordinarias.</w:t>
      </w:r>
    </w:p>
    <w:p w14:paraId="5618FE3D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e) Disolución de la Asociación.</w:t>
      </w:r>
    </w:p>
    <w:p w14:paraId="17DE4A25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f) Modificación de los Estatutos.</w:t>
      </w:r>
    </w:p>
    <w:p w14:paraId="45CF3B11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g) Disposición o enajenación de los bienes integrantes del inmovilizado.</w:t>
      </w:r>
    </w:p>
    <w:p w14:paraId="3A19DBE9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h) Cualquiera otra que no sea competencia atribuida a otro órgano social.</w:t>
      </w:r>
    </w:p>
    <w:p w14:paraId="0D16403B" w14:textId="77777777" w:rsidR="00875F27" w:rsidRPr="0013796F" w:rsidRDefault="00875F27" w:rsidP="00875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i) Refrendar los ingresos de nuevos socios aprobados por la Junta Directiva.</w:t>
      </w:r>
    </w:p>
    <w:p w14:paraId="29AACEF5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JUNTA DIRECTIVA</w:t>
      </w:r>
    </w:p>
    <w:p w14:paraId="18D25756" w14:textId="02CB2ECF" w:rsidR="00875F27" w:rsidRPr="0013796F" w:rsidRDefault="001E0D8B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11</w:t>
      </w:r>
      <w:r w:rsidR="00875F27"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. </w:t>
      </w:r>
      <w:r w:rsidR="00875F27"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La Junta Directiva es el órgano encargado de programar y dirigir las actividades de la Asociación mediante la ejecución de los acuerdos </w:t>
      </w:r>
      <w:r w:rsidR="00875F27" w:rsidRPr="0013796F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lastRenderedPageBreak/>
        <w:t>adoptados por la Asamblea General, y el órgano competente para interpretar los presentes estatutos.</w:t>
      </w:r>
    </w:p>
    <w:p w14:paraId="586D38E9" w14:textId="57931F42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FF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12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. 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La Junta Directiva está compuesta por un Presidente, un</w:t>
      </w:r>
      <w:r w:rsidR="0078545A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o o dos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Vicepresidente</w:t>
      </w:r>
      <w:r w:rsidR="0078545A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s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, un Secretario</w:t>
      </w:r>
      <w:r w:rsidR="0078545A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General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, un Tesorero, y un mínimo de tres Vocales.</w:t>
      </w:r>
    </w:p>
    <w:p w14:paraId="712D2519" w14:textId="6824F199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13.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Junta Directiva se renovará en su mitad, cada dos años. En un primer periodo la renovación afectará a los cargos de Vicepresidente, Secretario y la mitad de Vocales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.</w:t>
      </w:r>
      <w:r w:rsidR="0078545A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No obstante, podrá prorrogarse por dos años más </w:t>
      </w:r>
      <w:r w:rsidR="001A37F0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cada uno de llos cargos</w:t>
      </w:r>
      <w:r w:rsidR="009400FC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78545A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si así lo decide la </w:t>
      </w:r>
      <w:r w:rsidR="00775F2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Asamblea General.</w:t>
      </w:r>
    </w:p>
    <w:p w14:paraId="6BF523D8" w14:textId="116F5F89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5B9BD5" w:themeColor="accent5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14. 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La Junta Directiva se reunirá cuantas veces lo determine su Presidente o a iniciativa y petición de cuatro de sus miembros. Quedará constituida cuando asista la mitad más uno de sus componentes y para que sus acuerdos sean válidos deberán ser tomados por</w:t>
      </w:r>
      <w:r w:rsidR="00775F2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unanimidad</w:t>
      </w:r>
      <w:r w:rsid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, una vez logrado el oportuno consenso.</w:t>
      </w:r>
    </w:p>
    <w:p w14:paraId="366D07BC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15. 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miembros de la Junta Directiva podrán causar baja:</w:t>
      </w:r>
    </w:p>
    <w:p w14:paraId="0FCE914A" w14:textId="2FF24363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1- Por renuncia voluntaria comunicada par escrito a la Asamblea Gene</w:t>
      </w:r>
      <w:r w:rsidR="00EE56B8"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ral a través 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del Presidente.</w:t>
      </w:r>
    </w:p>
    <w:p w14:paraId="02A87D22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2- Por incumplimiento de las obligaciones que tuvieren encomendadas.</w:t>
      </w:r>
    </w:p>
    <w:p w14:paraId="14D52C23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3-  Por expiración de mandato.</w:t>
      </w:r>
    </w:p>
    <w:p w14:paraId="510B09B1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4- Por conducta notoriamente contraria a los fines de la Asociación.</w:t>
      </w:r>
    </w:p>
    <w:p w14:paraId="2F7FA704" w14:textId="3F808736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16. 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Los miembros de la Junta Directiva que hubieran agotado el plazo para el que fueron elegidos, continuaran ostentando sus cargos</w:t>
      </w:r>
      <w:r w:rsidR="00577F4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 sin poder pedir la baja del cargo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hasta el momento fijado por la Asamblea General para su sustitución.</w:t>
      </w:r>
      <w:r w:rsidR="00577F49"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</w:p>
    <w:p w14:paraId="4F370484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CARGOS</w:t>
      </w:r>
    </w:p>
    <w:p w14:paraId="0CB52169" w14:textId="256CFE32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17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. 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La elección de cargos de la Junta Directiva es competencia de la Asamblea General. Cada uno de ellos no se podrá desempeñar por más de cuatro años sucesivos, ni serán remunerados.</w:t>
      </w:r>
      <w:r w:rsidR="009400FC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(hay quien opina que no es operativo este artículo)</w:t>
      </w:r>
    </w:p>
    <w:p w14:paraId="1BCF6A60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No obstante, cuando la Asamblea General lo estime oportuno, podrá reelegir a cualquier miembro de la Junta por cuatro años más.</w:t>
      </w:r>
    </w:p>
    <w:p w14:paraId="7F30A54F" w14:textId="77777777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Artículo 18. 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El Presidente representara legalmente a la Asociación, convocará, presidirá y levantará las sesiones de la Asamblea General y la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Junta Directiva, 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dirigirá las deliberaciones de una y otra, promoverá y asumirá las relaciones institucionales al más alto nivel, autorizará con su firma los documentos y actas, y podrá adoptar cualquier medida urgente que la Asociación aconseje, sin perjuicio de dar cuenta a la Junta Directiva.</w:t>
      </w:r>
    </w:p>
    <w:p w14:paraId="0842CFFF" w14:textId="45E7F596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19.</w:t>
      </w:r>
      <w:r w:rsidRPr="00EE56B8">
        <w:rPr>
          <w:rFonts w:ascii="Arial" w:eastAsia="Times New Roman" w:hAnsi="Arial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EE56B8">
        <w:rPr>
          <w:rFonts w:ascii="Arial" w:eastAsia="Times New Roman" w:hAnsi="Arial" w:cs="Times New Roman"/>
          <w:bCs/>
          <w:kern w:val="0"/>
          <w:sz w:val="24"/>
          <w:szCs w:val="24"/>
          <w:lang w:eastAsia="es-ES"/>
          <w14:ligatures w14:val="none"/>
        </w:rPr>
        <w:t>El 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Vicepresidente </w:t>
      </w:r>
      <w:r w:rsidR="00775F2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primero 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sustituirá al Presidente en ausencia de éste, motivada por enfermedad o cualquier otra causa, y</w:t>
      </w:r>
      <w:r w:rsidR="00775F2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en este caso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tendrá las mismas atribuciones que él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06322CB4" w14:textId="7A3973D2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</w:pPr>
      <w:r w:rsidRPr="00EE56B8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20</w:t>
      </w:r>
      <w:r w:rsidRPr="00EE56B8">
        <w:rPr>
          <w:rFonts w:ascii="Arial" w:eastAsia="Times New Roman" w:hAnsi="Arial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El Secretario </w:t>
      </w:r>
      <w:r w:rsidR="00775F29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General 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tendrá a su cargo la dirección de los trabajos puramente administrativos</w:t>
      </w:r>
      <w:r w:rsidR="003256D0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y generales</w:t>
      </w:r>
      <w:r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de la Junta Directiva y Asamblea General expedirá certificaciones, llevara los libros de la Asociación legalmente establecidos, el fichero de asociados y custodiara la documentación de la entidad.</w:t>
      </w:r>
      <w:r w:rsidR="003256D0" w:rsidRPr="00EE56B8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4DE9984F" w14:textId="091D2DBD" w:rsidR="00875F27" w:rsidRPr="00EE56B8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21. 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El Tesorero recaudará y custodiará los fondos pertenecientes a la Asociación y dará cumplimiento a las órdenes de pago que expida el Presidente.</w:t>
      </w:r>
    </w:p>
    <w:p w14:paraId="1584DAE7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22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. </w:t>
      </w:r>
      <w:r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Vocales tendrán las obligaciones propias de su cargo como miembros de la Junta Directiva, así como las que procedan de las delegaciones o comisiones de trabajo que la propia Junta les encomiende</w:t>
      </w: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25C3BB20" w14:textId="47CF63BC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CAPITULO III</w:t>
      </w:r>
    </w:p>
    <w:p w14:paraId="60EE9164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ASOCIADOS</w:t>
      </w:r>
    </w:p>
    <w:p w14:paraId="034503CB" w14:textId="53832475" w:rsidR="00875F27" w:rsidRPr="0013796F" w:rsidRDefault="00EE56B8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23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</w:t>
      </w:r>
      <w:r w:rsidR="00875F27"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="00875F27" w:rsidRPr="00EE56B8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Dentro de la Asociación existirán las siguientes clases de asociados:</w:t>
      </w:r>
    </w:p>
    <w:p w14:paraId="5E39B686" w14:textId="77777777" w:rsidR="00C40FC5" w:rsidRDefault="00875F27" w:rsidP="00C40F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a) </w:t>
      </w:r>
      <w:r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u w:val="single"/>
          <w:lang w:eastAsia="es-ES"/>
          <w14:ligatures w14:val="none"/>
        </w:rPr>
        <w:t>Numerarios:</w:t>
      </w:r>
      <w:r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 los militares españoles, cualquiera que sea su situación</w:t>
      </w:r>
      <w:r w:rsidR="00470094"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profesional, incluidos los Reservistas Voluntarios</w:t>
      </w:r>
      <w:r w:rsidRPr="00C40FC5">
        <w:rPr>
          <w:rFonts w:ascii="Arial" w:eastAsia="Times New Roman" w:hAnsi="Arial" w:cs="Times New Roman"/>
          <w:color w:val="5B9BD5" w:themeColor="accent5"/>
          <w:kern w:val="0"/>
          <w:sz w:val="24"/>
          <w:szCs w:val="24"/>
          <w:lang w:eastAsia="es-ES"/>
          <w14:ligatures w14:val="none"/>
        </w:rPr>
        <w:t>,</w:t>
      </w:r>
      <w:r w:rsidR="007B051C" w:rsidRPr="001E0D8B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y</w:t>
      </w:r>
      <w:r w:rsidRPr="00C40FC5">
        <w:rPr>
          <w:rFonts w:ascii="Arial" w:eastAsia="Times New Roman" w:hAnsi="Arial" w:cs="Times New Roman"/>
          <w:color w:val="5B9BD5" w:themeColor="accent5"/>
          <w:kern w:val="0"/>
          <w:sz w:val="24"/>
          <w:szCs w:val="24"/>
          <w:lang w:eastAsia="es-ES"/>
          <w14:ligatures w14:val="none"/>
        </w:rPr>
        <w:t xml:space="preserve"> </w:t>
      </w:r>
      <w:r w:rsidRPr="00C40FC5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integrantes de la Milicia Universitaria, que hayan solicitado su ingreso en la Asociación y recibido la aprobación de la Junta Directiva.</w:t>
      </w:r>
    </w:p>
    <w:p w14:paraId="57CCE5DB" w14:textId="77777777" w:rsidR="001E0D8B" w:rsidRPr="001E0D8B" w:rsidRDefault="00875F27" w:rsidP="001E0D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b) </w:t>
      </w:r>
      <w:r w:rsidR="00EE56B8" w:rsidRPr="00C40FC5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es-ES"/>
        </w:rPr>
        <w:t>De H</w:t>
      </w:r>
      <w:r w:rsidRPr="00C40FC5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es-ES"/>
        </w:rPr>
        <w:t>onor:</w:t>
      </w:r>
      <w:r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 Personalidades distinguidas en cua</w:t>
      </w:r>
      <w:r w:rsid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lquier ámbito de la cultura que</w:t>
      </w:r>
      <w:r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habiendo demostrado fehacientemente su r</w:t>
      </w:r>
      <w:r w:rsidR="00EE56B8"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 xml:space="preserve">espeto y afecto por las Fuerzas </w:t>
      </w:r>
      <w:r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Armadas española</w:t>
      </w:r>
      <w:r w:rsidR="00EE56B8"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s, sean propuestas por la Junta Directiva y aprobado por la</w:t>
      </w:r>
      <w:r w:rsidRPr="00C40FC5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Asamblea General.</w:t>
      </w:r>
    </w:p>
    <w:p w14:paraId="62F8ED76" w14:textId="6A9AE4A3" w:rsidR="00875F27" w:rsidRPr="001E0D8B" w:rsidRDefault="00875F27" w:rsidP="001E0D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E0D8B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c) </w:t>
      </w:r>
      <w:r w:rsidRPr="001E0D8B"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es-ES"/>
        </w:rPr>
        <w:t>Colaboradores</w:t>
      </w:r>
      <w:r w:rsidRPr="001E0D8B">
        <w:rPr>
          <w:rFonts w:ascii="Arial" w:eastAsia="Times New Roman" w:hAnsi="Arial" w:cs="Times New Roman"/>
          <w:b/>
          <w:color w:val="000000"/>
          <w:sz w:val="24"/>
          <w:szCs w:val="24"/>
          <w:lang w:eastAsia="es-ES"/>
        </w:rPr>
        <w:t xml:space="preserve">: </w:t>
      </w:r>
      <w:r w:rsidRPr="001E0D8B">
        <w:rPr>
          <w:rFonts w:ascii="Arial" w:eastAsia="Times New Roman" w:hAnsi="Arial" w:cs="Times New Roman"/>
          <w:color w:val="000000"/>
          <w:sz w:val="24"/>
          <w:szCs w:val="24"/>
          <w:lang w:eastAsia="es-ES"/>
        </w:rPr>
        <w:t>Personas que tengan una especial y contrastada armonía con los fines de la Asociación a propuesta de la Junta Directiva y con la aprobación de la Asamblea General.</w:t>
      </w:r>
    </w:p>
    <w:p w14:paraId="738D3270" w14:textId="7235E23F" w:rsidR="00470094" w:rsidRPr="003556E9" w:rsidRDefault="00470094" w:rsidP="00470094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3556E9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 xml:space="preserve">La Junta Directiva valorará los méritos y circunstancias de los solicitantes </w:t>
      </w:r>
      <w:r w:rsidR="00EE56B8" w:rsidRPr="003556E9">
        <w:rPr>
          <w:rFonts w:ascii="Arial" w:eastAsia="Times New Roman" w:hAnsi="Arial" w:cs="Times New Roman"/>
          <w:sz w:val="24"/>
          <w:szCs w:val="24"/>
          <w:lang w:eastAsia="es-ES"/>
        </w:rPr>
        <w:t xml:space="preserve">numerarios. </w:t>
      </w:r>
      <w:r w:rsidRPr="003556E9">
        <w:rPr>
          <w:rFonts w:ascii="Arial" w:eastAsia="Times New Roman" w:hAnsi="Arial" w:cs="Times New Roman"/>
          <w:sz w:val="24"/>
          <w:szCs w:val="24"/>
          <w:lang w:eastAsia="es-ES"/>
        </w:rPr>
        <w:t>Los ingresos serán refrendados por la Asamblea General.</w:t>
      </w:r>
    </w:p>
    <w:p w14:paraId="02BABF15" w14:textId="4B8592B3" w:rsidR="00875F27" w:rsidRPr="003556E9" w:rsidRDefault="003556E9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24</w:t>
      </w:r>
      <w:r w:rsidR="00875F27"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="00875F27"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asociados numerarios tienen los siguientes derechos:</w:t>
      </w:r>
    </w:p>
    <w:p w14:paraId="51413BBB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a) Tomar parte en cuantas actividades organice la Asociación en cumplimiento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br/>
        <w:t>de sus fines.</w:t>
      </w:r>
    </w:p>
    <w:p w14:paraId="4E9D4A21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b) Disfrutar de las ventajas y beneficios que la Asociación pueda obtener.</w:t>
      </w:r>
    </w:p>
    <w:p w14:paraId="0331B2A0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c) Participar en las Asambleas con voz y voto.</w:t>
      </w:r>
    </w:p>
    <w:p w14:paraId="249E676A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d) Ser electores y elegibles para los cargos directivos.</w:t>
      </w:r>
    </w:p>
    <w:p w14:paraId="6BF20554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e) Recibir información sobre acuerdos adoptados por los órganos de la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br/>
        <w:t>Asociación.</w:t>
      </w:r>
    </w:p>
    <w:p w14:paraId="3EC364B9" w14:textId="77777777" w:rsidR="00875F27" w:rsidRPr="003556E9" w:rsidRDefault="00875F27" w:rsidP="00875F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f)  Hacer sugerencias a los miembros de la Junta Directiva en orden al mejor</w:t>
      </w:r>
    </w:p>
    <w:p w14:paraId="68FBD4C3" w14:textId="77777777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cumplimiento de los fines de la Asociación.</w:t>
      </w:r>
    </w:p>
    <w:p w14:paraId="201E2897" w14:textId="32369AEB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</w:t>
      </w:r>
      <w:r w:rsidRPr="003556E9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25</w:t>
      </w: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Los asociados numerarios tienen las siguientes obligaciones:</w:t>
      </w:r>
    </w:p>
    <w:p w14:paraId="4007E3F9" w14:textId="77777777" w:rsidR="00875F27" w:rsidRPr="003556E9" w:rsidRDefault="00875F27" w:rsidP="00875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a) Cumplir los presentes Estatutos y los acuerdos válidos de las Asambleas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br/>
        <w:t>Generales y Junta Directiva</w:t>
      </w:r>
    </w:p>
    <w:p w14:paraId="09C1AD5D" w14:textId="77777777" w:rsidR="00875F27" w:rsidRPr="003556E9" w:rsidRDefault="00875F27" w:rsidP="00875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b) Asistir a las Asambleas Generales y demás actos que se organicen.</w:t>
      </w:r>
    </w:p>
    <w:p w14:paraId="66247D75" w14:textId="77777777" w:rsidR="00875F27" w:rsidRPr="003556E9" w:rsidRDefault="00875F27" w:rsidP="00875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c) Desempeñar, en su caso, las obligaciones inherentes al cargo que ocupen.</w:t>
      </w:r>
    </w:p>
    <w:p w14:paraId="20EDE5F2" w14:textId="77777777" w:rsidR="00875F27" w:rsidRPr="003556E9" w:rsidRDefault="00875F27" w:rsidP="00875F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d) Abonar las cuotas que se fijen.</w:t>
      </w:r>
    </w:p>
    <w:p w14:paraId="619B32BA" w14:textId="3D914398" w:rsidR="00875F27" w:rsidRPr="003556E9" w:rsidRDefault="003556E9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26</w:t>
      </w:r>
      <w:r w:rsidR="00875F27"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</w:t>
      </w:r>
      <w:r w:rsidR="00875F27" w:rsidRPr="003556E9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="00875F27"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pérdida de la condición de asociado numerario se efectuará por alguno de los siguientes motivos:</w:t>
      </w:r>
    </w:p>
    <w:p w14:paraId="19F60428" w14:textId="77777777" w:rsidR="00875F27" w:rsidRPr="003556E9" w:rsidRDefault="00875F27" w:rsidP="00875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a) Por renuncia voluntaria, comunicada por escrito a la Junta Directiva. „</w:t>
      </w:r>
    </w:p>
    <w:p w14:paraId="0E0A2C4E" w14:textId="77777777" w:rsidR="00875F27" w:rsidRPr="003556E9" w:rsidRDefault="00875F27" w:rsidP="00875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b) Por incumplimiento de sus obligaciones económicas.</w:t>
      </w:r>
    </w:p>
    <w:p w14:paraId="37526189" w14:textId="77777777" w:rsidR="00875F27" w:rsidRPr="003556E9" w:rsidRDefault="00875F27" w:rsidP="00875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c) Por no acatar lo establecido en estos Estatutos o incumplir los acuerdos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br/>
        <w:t>adoptados por la Junta Directiva.</w:t>
      </w:r>
    </w:p>
    <w:p w14:paraId="6E749D42" w14:textId="77777777" w:rsidR="00875F27" w:rsidRPr="003556E9" w:rsidRDefault="00875F27" w:rsidP="00875F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d) Por conducta notoriamente contraria a los fines de la Asociación, a propuesta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br/>
        <w:t>de la Junta Directiva y refrendada por la Asamblea General.</w:t>
      </w:r>
    </w:p>
    <w:p w14:paraId="0AC1DAAD" w14:textId="77777777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En los casos b, c y d, el acuerdo de baja deberá ser tornado por la Junta Directiva reunida al efecto, después de escuchar al interesado, si así lo solicita. El acuerdo de baja será firme e inapelable.</w:t>
      </w:r>
    </w:p>
    <w:p w14:paraId="45ABC2B3" w14:textId="553CD42B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lastRenderedPageBreak/>
        <w:t>Artí</w:t>
      </w:r>
      <w:r w:rsidR="003556E9"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culo 27</w:t>
      </w: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Los asociados de honor y los asociados colaboradores, a quienes no serán</w:t>
      </w:r>
      <w:r w:rsidR="00470094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de aplicación los artículos 26 y 27 de estos Estatutos, podrán participar en las distintas</w:t>
      </w:r>
      <w:r w:rsidR="00470094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actividades de la Asociación.</w:t>
      </w:r>
      <w:r w:rsidR="00470094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577F49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En caso de que algún Asociado de Honor, sea tambié</w:t>
      </w:r>
      <w:r w:rsidR="006F1437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n </w:t>
      </w:r>
      <w:r w:rsidR="00577F49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numerario, mantendrá los derechos recogidos en los Art. 25 y 26. </w:t>
      </w:r>
      <w:r w:rsidR="006F1437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Si no fueran Numerarios los que se designen como de Honor, estos y los Colaboradores e</w:t>
      </w:r>
      <w:r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n las Asambleas Generales tendrán derecho a voz, pero sin voto. Así mismo, en ninguno</w:t>
      </w:r>
      <w:r w:rsidR="00470094"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3556E9">
        <w:rPr>
          <w:rFonts w:ascii="Arial" w:eastAsia="Times New Roman" w:hAnsi="Arial" w:cs="Times New Roman"/>
          <w:kern w:val="0"/>
          <w:sz w:val="24"/>
          <w:szCs w:val="24"/>
          <w:lang w:eastAsia="es-ES"/>
          <w14:ligatures w14:val="none"/>
        </w:rPr>
        <w:t>de los casos podrán pertenecer a la Junta Directiva.</w:t>
      </w:r>
    </w:p>
    <w:p w14:paraId="69592B96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CAPITULO IV</w:t>
      </w:r>
    </w:p>
    <w:p w14:paraId="1CE9FC2D" w14:textId="77777777" w:rsidR="00875F27" w:rsidRPr="0013796F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RECURSOS</w:t>
      </w:r>
    </w:p>
    <w:p w14:paraId="577C064A" w14:textId="52E78CBE" w:rsidR="00875F27" w:rsidRPr="003556E9" w:rsidRDefault="003556E9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28</w:t>
      </w:r>
      <w:r w:rsidR="00875F27" w:rsidRPr="003556E9">
        <w:rPr>
          <w:rFonts w:ascii="Arial" w:eastAsia="Times New Roman" w:hAnsi="Arial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="00875F27"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Asociación Española de Militares Escritores carece de patrimonio, sus recursos económicos estarán constituidos por las cuotas de sus miembros, por los donativos o subvenciones que puedan hacerse a la misma por entidades públicas o privadas o, en su caso, por los fondos procedentes del desarrollo de sus propias actividades.</w:t>
      </w:r>
    </w:p>
    <w:p w14:paraId="3D155C30" w14:textId="7808FF4F" w:rsidR="00875F27" w:rsidRPr="003556E9" w:rsidRDefault="003556E9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 29</w:t>
      </w:r>
      <w:r w:rsidR="00875F27"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="00875F27"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El ejercicio asociativo y económico será anual y su cierre tendrá lugar el31 de diciembre de cada año.</w:t>
      </w:r>
    </w:p>
    <w:p w14:paraId="777E6FA1" w14:textId="77777777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Para cada ejercicio económico, la Asamblea General nombrara dos interventores de entre los asociados numerarios, que fiscalizaran los estados contables de la Asociación.</w:t>
      </w:r>
    </w:p>
    <w:p w14:paraId="423547D2" w14:textId="77777777" w:rsidR="001E0D8B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CAPITULO V</w:t>
      </w:r>
    </w:p>
    <w:p w14:paraId="4BF2134E" w14:textId="11112D51" w:rsidR="00875F27" w:rsidRPr="001E0D8B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DISOLUCION</w:t>
      </w:r>
    </w:p>
    <w:p w14:paraId="20DB712D" w14:textId="1537EEBF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30</w:t>
      </w:r>
      <w:r w:rsidRPr="0013796F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La Asociación se disolverá voluntariamente cuando así lo acuerde la Asamblea General extraordinaria, convocada al efecto.</w:t>
      </w:r>
    </w:p>
    <w:p w14:paraId="1D919D06" w14:textId="34683DF3" w:rsidR="00875F27" w:rsidRPr="003556E9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3556E9">
        <w:rPr>
          <w:rFonts w:ascii="Arial" w:eastAsia="Times New Roman" w:hAnsi="Arial" w:cs="Times New Roman"/>
          <w:bCs/>
          <w:color w:val="000000"/>
          <w:kern w:val="0"/>
          <w:sz w:val="24"/>
          <w:szCs w:val="24"/>
          <w:lang w:eastAsia="es-ES"/>
          <w14:ligatures w14:val="none"/>
        </w:rPr>
        <w:t>  </w:t>
      </w: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Artículo </w:t>
      </w:r>
      <w:r w:rsid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31</w:t>
      </w:r>
      <w:r w:rsidRPr="003556E9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. </w:t>
      </w:r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 En caso de disolución, la Junta Directiva actuara como comisión liquidadora, y de resultar un capital activo, se destinará a los fines benéficos o sociales que consten en el acuerdo de disolución, siempre que no se desvirtúe la naturaleza no lucrativa de la Asociación.</w:t>
      </w:r>
    </w:p>
    <w:p w14:paraId="3224CF70" w14:textId="4ACE212B" w:rsidR="00875F27" w:rsidRPr="001E0D8B" w:rsidRDefault="00875F27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</w:pPr>
      <w:r w:rsidRPr="0013796F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> </w:t>
      </w:r>
      <w:r w:rsidRPr="003556E9">
        <w:rPr>
          <w:rFonts w:ascii="Arial" w:eastAsia="Times New Roman" w:hAnsi="Arial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DISPOSICION ADICIONAL</w:t>
      </w:r>
      <w:r w:rsidR="001E0D8B">
        <w:rPr>
          <w:rFonts w:ascii="Arial" w:eastAsia="Times New Roman" w:hAnsi="Arial" w:cs="Times New Roman"/>
          <w:b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bookmarkStart w:id="0" w:name="_GoBack"/>
      <w:bookmarkEnd w:id="0"/>
      <w:r w:rsidRPr="003556E9"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>En todo cuanto no esté previsto en los presentes Estatutos se aplicara la vigente Ley Orgánica 1/ 2002, de 22 de marzo, reguladora del Derecho de Asociación, y las disposiciones complementarias.</w:t>
      </w:r>
    </w:p>
    <w:p w14:paraId="4936C7AA" w14:textId="6ACA5FBD" w:rsidR="00875F27" w:rsidRPr="003556E9" w:rsidRDefault="003556E9" w:rsidP="00875F27">
      <w:pPr>
        <w:shd w:val="clear" w:color="auto" w:fill="FFFFFF"/>
        <w:spacing w:after="450" w:line="240" w:lineRule="auto"/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En Madrid a      , de </w:t>
      </w:r>
    </w:p>
    <w:p w14:paraId="1B2D466A" w14:textId="77777777" w:rsidR="00C465AC" w:rsidRPr="0013796F" w:rsidRDefault="00C465AC">
      <w:pPr>
        <w:rPr>
          <w:rFonts w:ascii="Arial" w:hAnsi="Arial"/>
          <w:b/>
          <w:sz w:val="24"/>
          <w:szCs w:val="24"/>
        </w:rPr>
      </w:pPr>
    </w:p>
    <w:sectPr w:rsidR="00C465AC" w:rsidRPr="0013796F" w:rsidSect="006C69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9D70B" w14:textId="77777777" w:rsidR="00C40FC5" w:rsidRDefault="00C40FC5" w:rsidP="008274F3">
      <w:pPr>
        <w:spacing w:after="0" w:line="240" w:lineRule="auto"/>
      </w:pPr>
      <w:r>
        <w:separator/>
      </w:r>
    </w:p>
  </w:endnote>
  <w:endnote w:type="continuationSeparator" w:id="0">
    <w:p w14:paraId="00543AFB" w14:textId="77777777" w:rsidR="00C40FC5" w:rsidRDefault="00C40FC5" w:rsidP="0082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12E04" w14:textId="77777777" w:rsidR="00C40FC5" w:rsidRDefault="00C40FC5" w:rsidP="008274F3">
      <w:pPr>
        <w:spacing w:after="0" w:line="240" w:lineRule="auto"/>
      </w:pPr>
      <w:r>
        <w:separator/>
      </w:r>
    </w:p>
  </w:footnote>
  <w:footnote w:type="continuationSeparator" w:id="0">
    <w:p w14:paraId="7A61A51D" w14:textId="77777777" w:rsidR="00C40FC5" w:rsidRDefault="00C40FC5" w:rsidP="0082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E25"/>
    <w:multiLevelType w:val="multilevel"/>
    <w:tmpl w:val="860A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57FD8"/>
    <w:multiLevelType w:val="multilevel"/>
    <w:tmpl w:val="A95C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3532C"/>
    <w:multiLevelType w:val="multilevel"/>
    <w:tmpl w:val="18AC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B6FA0"/>
    <w:multiLevelType w:val="hybridMultilevel"/>
    <w:tmpl w:val="E57A1188"/>
    <w:lvl w:ilvl="0" w:tplc="0F6E35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7623"/>
    <w:multiLevelType w:val="multilevel"/>
    <w:tmpl w:val="D21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07B76"/>
    <w:multiLevelType w:val="multilevel"/>
    <w:tmpl w:val="644C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D1E6B"/>
    <w:multiLevelType w:val="multilevel"/>
    <w:tmpl w:val="2D18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B47D4"/>
    <w:multiLevelType w:val="hybridMultilevel"/>
    <w:tmpl w:val="527CF6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C539F"/>
    <w:multiLevelType w:val="multilevel"/>
    <w:tmpl w:val="9070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27"/>
    <w:rsid w:val="00004237"/>
    <w:rsid w:val="00070662"/>
    <w:rsid w:val="00114615"/>
    <w:rsid w:val="00123C0A"/>
    <w:rsid w:val="0013796F"/>
    <w:rsid w:val="00181571"/>
    <w:rsid w:val="001A37F0"/>
    <w:rsid w:val="001E0D8B"/>
    <w:rsid w:val="002041DE"/>
    <w:rsid w:val="003256D0"/>
    <w:rsid w:val="00327E4E"/>
    <w:rsid w:val="003556E9"/>
    <w:rsid w:val="003E6316"/>
    <w:rsid w:val="00470094"/>
    <w:rsid w:val="00577F49"/>
    <w:rsid w:val="005C1785"/>
    <w:rsid w:val="00654AEE"/>
    <w:rsid w:val="006C69CC"/>
    <w:rsid w:val="006F12E2"/>
    <w:rsid w:val="006F1437"/>
    <w:rsid w:val="0071440C"/>
    <w:rsid w:val="00765AAA"/>
    <w:rsid w:val="00775F29"/>
    <w:rsid w:val="0078545A"/>
    <w:rsid w:val="007B051C"/>
    <w:rsid w:val="007B13E2"/>
    <w:rsid w:val="007D1427"/>
    <w:rsid w:val="008274F3"/>
    <w:rsid w:val="00875F27"/>
    <w:rsid w:val="009400FC"/>
    <w:rsid w:val="00A0304D"/>
    <w:rsid w:val="00C40FC5"/>
    <w:rsid w:val="00C465AC"/>
    <w:rsid w:val="00DA5539"/>
    <w:rsid w:val="00DB29B4"/>
    <w:rsid w:val="00E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6B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F3"/>
    <w:pPr>
      <w:ind w:left="720"/>
      <w:contextualSpacing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4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4F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F3"/>
    <w:pPr>
      <w:ind w:left="720"/>
      <w:contextualSpacing/>
    </w:pPr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4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72EF-4F0E-994E-8A6D-1BCF3192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1653</Words>
  <Characters>9426</Characters>
  <Application>Microsoft Macintosh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LEON DIAZ BALMORI</dc:creator>
  <cp:keywords/>
  <dc:description/>
  <cp:lastModifiedBy>Manuel Ayora Santisteban</cp:lastModifiedBy>
  <cp:revision>2</cp:revision>
  <cp:lastPrinted>2024-12-14T19:20:00Z</cp:lastPrinted>
  <dcterms:created xsi:type="dcterms:W3CDTF">2025-02-22T19:16:00Z</dcterms:created>
  <dcterms:modified xsi:type="dcterms:W3CDTF">2025-02-22T19:16:00Z</dcterms:modified>
</cp:coreProperties>
</file>